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0" w:name="sub_58"/>
      <w:r w:rsidRPr="001E19FD">
        <w:rPr>
          <w:rFonts w:ascii="PT Astra Serif" w:hAnsi="PT Astra Serif"/>
          <w:color w:val="auto"/>
          <w:sz w:val="20"/>
          <w:szCs w:val="20"/>
        </w:rPr>
        <w:t>VIII. I.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" w:name="sub_59"/>
      <w:r w:rsidRPr="001E19FD">
        <w:rPr>
          <w:rFonts w:ascii="PT Astra Serif" w:hAnsi="PT Astra Serif"/>
          <w:sz w:val="20"/>
          <w:szCs w:val="20"/>
        </w:rPr>
        <w:t xml:space="preserve">45. При оказании медицинской помощи в рамках Программы граждане имеют право на выбор медицинской организации на основании </w:t>
      </w:r>
      <w:hyperlink r:id="rId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статьи 21</w:t>
        </w:r>
      </w:hyperlink>
      <w:r w:rsidRPr="001E19FD">
        <w:rPr>
          <w:rFonts w:ascii="PT Astra Serif" w:hAnsi="PT Astra Serif"/>
          <w:sz w:val="20"/>
          <w:szCs w:val="20"/>
        </w:rPr>
        <w:t xml:space="preserve"> Федерального закона "Об основах охраны здоровья граждан в Российской Федерации", в соответствии с </w:t>
      </w:r>
      <w:hyperlink r:id="rId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и социального развития Российской Федерации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</w:t>
      </w:r>
      <w:hyperlink r:id="rId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21.12.2012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" w:name="sub_60"/>
      <w:bookmarkEnd w:id="1"/>
      <w:r w:rsidRPr="001E19FD">
        <w:rPr>
          <w:rFonts w:ascii="PT Astra Serif" w:hAnsi="PT Astra Serif"/>
          <w:sz w:val="20"/>
          <w:szCs w:val="20"/>
        </w:rPr>
        <w:t xml:space="preserve">46. 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врача), осуществляется в соответствии с </w:t>
      </w:r>
      <w:hyperlink r:id="rId1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и социального развития Российской Федерации от 26.04.2012 N 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врача".</w:t>
      </w:r>
    </w:p>
    <w:bookmarkEnd w:id="2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3" w:name="sub_61"/>
      <w:r w:rsidRPr="001E19FD">
        <w:rPr>
          <w:rFonts w:ascii="PT Astra Serif" w:hAnsi="PT Astra Serif"/>
          <w:color w:val="auto"/>
          <w:sz w:val="20"/>
          <w:szCs w:val="20"/>
        </w:rPr>
        <w:t>VIII. II.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Томской области</w:t>
      </w:r>
    </w:p>
    <w:bookmarkEnd w:id="3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4" w:name="sub_62"/>
      <w:r w:rsidRPr="001E19FD">
        <w:rPr>
          <w:rFonts w:ascii="PT Astra Serif" w:hAnsi="PT Astra Serif"/>
          <w:sz w:val="20"/>
          <w:szCs w:val="20"/>
        </w:rPr>
        <w:t>47. Право на внеочередное оказание медицинской помощи в амбулаторных условиях, в условиях дневного стационара, стационарных условиях в медицинских организациях, участвующих в реализации Программы, имеют отдельные категории граждан, предусмотренные действующим законодательством, граждане пожилого возраста старше 60 лет и ветераны боевых действий в медицинских организациях, находящихся на территории субъекта Российской Федерации.</w:t>
      </w:r>
    </w:p>
    <w:bookmarkEnd w:id="4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оказании медицинской помощи в амбулаторных условиях указанные в абзаце первом настоящего пункта категории граждан имеют право на внеочередное медицинское обслуживание в виде проведения консультации врача-специалиста, диагностических, инструментальных и лабораторных исследований и диспансерного наблюдения на основании документа, подтверждающего категорию гражданина, либо отметки на амбулаторной карте или направления при условии прикрепления к данной медицинской организации.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5" w:name="sub_63"/>
      <w:r w:rsidRPr="001E19FD">
        <w:rPr>
          <w:rFonts w:ascii="PT Astra Serif" w:hAnsi="PT Astra Serif"/>
          <w:sz w:val="20"/>
          <w:szCs w:val="20"/>
        </w:rPr>
        <w:t>48. При оказании медицинской помощи в стационарных условиях указанные в абзаце первом настоящего пункта категории граждан имеют преимущество в виде внеочередной плановой госпитализации на основании документа, подтверждающего категорию гражданина, а также наличия планового направления с пометкой категории гражданина. Направление гражданина на плановую госпитализацию осуществляется лечащим врачом по медицинским показаниям.</w:t>
      </w:r>
    </w:p>
    <w:bookmarkEnd w:id="5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 медицинским показаниям гражданин может быть направлен на плановую госпитализацию в дневные стационары всех типов, отделения (койки) сестринского ухода, хосписы.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Информация о категориях граждан, имеющих право на внеочередное оказание медицинской помощи, должна быть размещена медицинскими организациями на специально оборудованных стендах и (или) в иных общедоступных местах в помещениях соответствующих медицинских организаций.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обращении граждан, имеющих право на внеочередное оказание медицинской помощи, в регистратуре медицинской организации осуществляется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порядке. Предоставление плановой стационарной медицинской помощи, медицинской помощи в амбулаторных условиях и в условиях дневных стационаров гражданам, имеющим право на внеочередное оказание медицинской помощи, осуществляется вне основной очередности.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6" w:name="sub_64"/>
      <w:r w:rsidRPr="001E19FD">
        <w:rPr>
          <w:rFonts w:ascii="PT Astra Serif" w:hAnsi="PT Astra Serif"/>
          <w:color w:val="auto"/>
          <w:sz w:val="20"/>
          <w:szCs w:val="20"/>
        </w:rPr>
        <w:t>VIII. III. Порядок обеспечения граждан лекарственными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 (за исключением лечебного питания, в том числе специализированных продуктов лечебного питания, по желанию пациента),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</w:p>
    <w:bookmarkEnd w:id="6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7" w:name="sub_65"/>
      <w:r w:rsidRPr="001E19FD">
        <w:rPr>
          <w:rFonts w:ascii="PT Astra Serif" w:hAnsi="PT Astra Serif"/>
          <w:sz w:val="20"/>
          <w:szCs w:val="20"/>
        </w:rPr>
        <w:t xml:space="preserve">49. Назначение и применение по медицинским показаниям лекарственных препаратов, медицинских изделий, </w:t>
      </w:r>
      <w:r w:rsidRPr="001E19FD">
        <w:rPr>
          <w:rFonts w:ascii="PT Astra Serif" w:hAnsi="PT Astra Serif"/>
          <w:sz w:val="20"/>
          <w:szCs w:val="20"/>
        </w:rPr>
        <w:lastRenderedPageBreak/>
        <w:t>не входящих в перечень жизненно необходимых и важнейших лекарственных препаратов (далее - ЖНВЛП) и формулярный перечень лекарственных препаратов и медицинских изделий, необходимых для оказания медицинской помощи в стационарных условиях, также не входящих в перечень медицинских изделий, имплантируемых в организм человека, - в случаях их замены из-за индивидуальной непереносимости по жизненным показаниям допускаются по решению врачебной комиссии медицинской организации.</w:t>
      </w:r>
    </w:p>
    <w:bookmarkEnd w:id="7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Обеспечение отдельных категорий граждан, имеющих право на государственную социальную помощь в виде набора социальных услуг,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лекарственными препаратами, медицинскими изделиями, специализированными продуктами лечебного питания осуществляется в соответствии с перечнями, утверждаемыми Правительством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Обеспечение лекарственными препаратами и медицинскими изделиями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областного бюджета, осуществляется в соответствии с </w:t>
      </w:r>
      <w:hyperlink r:id="rId1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Администрации Томской области от 11.04.2018 N 161а "Об утверждении Порядка бесплатного обеспечения лекарственными препаратами и медицинскими изделиями при амбулаторном лечении отдельных категорий граждан, проживающих на территории Томской области" в пределах перечня лекарственных препаратов и медицинских изделий в целях обеспечения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областного бюджета, согласно </w:t>
      </w:r>
      <w:hyperlink w:anchor="sub_12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приложению N 3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настоящей Программе.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Организация обеспечения граждан лекарственными препаратами для лечения заболеваний, включенных в </w:t>
      </w:r>
      <w:hyperlink r:id="rId12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перечень</w:t>
        </w:r>
      </w:hyperlink>
      <w:r w:rsidRPr="001E19FD">
        <w:rPr>
          <w:rFonts w:ascii="PT Astra Serif" w:hAnsi="PT Astra Serif"/>
          <w:sz w:val="20"/>
          <w:szCs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</w:t>
      </w:r>
      <w:hyperlink r:id="rId13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постановлением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Правительства Российской Федерации от 26.04.2012 N 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осуществляется за счет средств областного бюджета в соответствии с </w:t>
      </w:r>
      <w:hyperlink r:id="rId14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Законом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Томской области от 14 марта 2016 года N 2-ОЗ "О лекарственном обеспечении населения Томской области".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оказании первичной медико-санитарной помощи в амбулаторных условиях, условиях дневного стационара, специализированной, в том числе высокотехнологичной, медицинской помощи в стационарных условиях и условиях дневного стационара, скорой, в том числе скорой специализированной, медицинской помощи в стационарных условиях,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 соответствии со стандартами медицинской помощи донорской кровью и (или) ее компонентами.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специализированной, в том числе высокотехнологичной, медицинской помощи и паллиативной медицинской помощи в стационарных условиях во всех формах лечебным питанием, в том числе специализированными продуктами лечебного питания, по нормам, утвержденным уполномоченным федеральным органом исполнительной власти, а также обеспечение отдельных категорий граждан в соответствии с законодательством Российской Федерации при оказании первичной медико-санитарной помощи в амбулаторных условиях во всех формах специализированными продуктами лечебного питания.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8" w:name="sub_66"/>
      <w:r w:rsidRPr="001E19FD">
        <w:rPr>
          <w:rFonts w:ascii="PT Astra Serif" w:hAnsi="PT Astra Serif"/>
          <w:color w:val="auto"/>
          <w:sz w:val="20"/>
          <w:szCs w:val="20"/>
        </w:rPr>
        <w:t>VIII. IV. Порядок оказания медицинской помощи гражданам и их маршрутизации при проведении медицинской реабилитации на всех этапах ее оказания</w:t>
      </w:r>
    </w:p>
    <w:bookmarkEnd w:id="8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9" w:name="sub_67"/>
      <w:r w:rsidRPr="001E19FD">
        <w:rPr>
          <w:rFonts w:ascii="PT Astra Serif" w:hAnsi="PT Astra Serif"/>
          <w:sz w:val="20"/>
          <w:szCs w:val="20"/>
        </w:rPr>
        <w:t xml:space="preserve">50. В целях реализации федерального проекта "Оптимальная для восстановления здоровья медицинская реабилитация" </w:t>
      </w:r>
      <w:hyperlink r:id="rId15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распоряжением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Администрации Томской области от 08.07.2022 N 440-ра утверждена </w:t>
      </w:r>
      <w:hyperlink r:id="rId16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региональная программа</w:t>
        </w:r>
      </w:hyperlink>
      <w:r w:rsidRPr="001E19FD">
        <w:rPr>
          <w:rFonts w:ascii="PT Astra Serif" w:hAnsi="PT Astra Serif"/>
          <w:sz w:val="20"/>
          <w:szCs w:val="20"/>
        </w:rPr>
        <w:t xml:space="preserve"> "Оптимальная для восстановления здоровья медицинская реабилитация в Томской области", задачей которой является разработка и реализация комплекса мер, направленных на обеспечение доступности медицинской реабилитации на всех этапах, совершенствование и развитие организации медицинской реабилитации в рамках оказания специализированной, в том числе высокотехнологичной, медицинской помощи (1-й, 2-й этапы), совершенствование и развитие организации медицинской реабилитации в рамках оказания первичной медико-санитарной помощи в амбулаторных условиях и условиях дневного стационара (3-й этап), кадровое обеспечение реабилитационной службы Томской области, организацию методического сопровождения деятельности реабилитационной службы Томской области, создание системы информирования граждан о возможностях медицинской реабилитации.</w:t>
      </w:r>
    </w:p>
    <w:bookmarkEnd w:id="9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Перечень региональных нормативных правовых актов, регламентирующих правила организации оказания медицинской реабилитации взрослым и детям в Томской области, перечень медицинских организаций, оказывающих медицинскую помощь за счет средств обязательного медицинского страхования на всех этапах, маршрутизация пациентов с учетом локализации и степени тяжести нарушенных функций (шкала реабилитационной маршрутизации), порядок осуществления медицинской реабилитации с применением телемедицинских технологий установлены: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lastRenderedPageBreak/>
        <w:t>распоряжение Департамента здравоохранения Томской области от 18.01.2021 N 92 "О Порядке направления пациентов, перенесших новую коронавирусную инфекцию (COVID-19), на проведение медицинской реабилитации на территории Томской области";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распоряжение Департамента здравоохранения Томской области от 16.10.2018 N 41 "О медицинской реабилитации в специализированных медицинских организациях на стационарном этапе";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распоряжение Департамента здравоохранения Томской области от 15.03.2018 N 188 "О медицинской реабилитации на амбулаторном этапе".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0" w:name="sub_68"/>
      <w:r w:rsidRPr="001E19FD">
        <w:rPr>
          <w:rFonts w:ascii="PT Astra Serif" w:hAnsi="PT Astra Serif"/>
          <w:color w:val="auto"/>
          <w:sz w:val="20"/>
          <w:szCs w:val="20"/>
        </w:rPr>
        <w:t>VIII. V. Порядок взаимодействия с референс-центрами Министерства здравоохранения Российской Федерации, созданными в целях предупреждения распространения биологических угроз (опасностей), а также порядок взаимодействия с референс-центрами иммуногистохимических, патоморфологических и лучевых методов исследований, функционирующими на базе медицинских организаций, подведомственных Министерству здравоохранения Российской Федерации</w:t>
      </w:r>
    </w:p>
    <w:bookmarkEnd w:id="1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1" w:name="sub_69"/>
      <w:r w:rsidRPr="001E19FD">
        <w:rPr>
          <w:rFonts w:ascii="PT Astra Serif" w:hAnsi="PT Astra Serif"/>
          <w:sz w:val="20"/>
          <w:szCs w:val="20"/>
        </w:rPr>
        <w:t xml:space="preserve">51. Согласно </w:t>
      </w:r>
      <w:hyperlink r:id="rId1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приказу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25.12.2020 N 1372 "Об организации функционирования референс-центров иммуногистохимических, патоморфологических и лучевых методов исследований на базе медицинских организаций, подведомственных Министерству здравоохранения Российской Федерации" обмен информацией с медицинскими организациями осуществляется через электронные сервисы единой государственной информационной системы в сфере здравоохранения, федеральные государственные информационные системы в сфере здравоохранения или другие информационные системы в сфере здравоохранения, обладающие соответствующим специализированным функционалом, при условии соблюдения требований </w:t>
      </w:r>
      <w:hyperlink r:id="rId1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законодательства</w:t>
        </w:r>
      </w:hyperlink>
      <w:r w:rsidRPr="001E19FD">
        <w:rPr>
          <w:rFonts w:ascii="PT Astra Serif" w:hAnsi="PT Astra Serif"/>
          <w:sz w:val="20"/>
          <w:szCs w:val="20"/>
        </w:rPr>
        <w:t xml:space="preserve"> Российской Федерации о персональных данных.</w:t>
      </w:r>
    </w:p>
    <w:bookmarkEnd w:id="11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12" w:name="sub_70"/>
      <w:r w:rsidRPr="001E19FD">
        <w:rPr>
          <w:rFonts w:ascii="PT Astra Serif" w:hAnsi="PT Astra Serif"/>
          <w:color w:val="auto"/>
          <w:sz w:val="20"/>
          <w:szCs w:val="20"/>
        </w:rPr>
        <w:t>VIII. VI. Перечень мероприятий по профилактике заболеваний и формированию здорового образа жизни, осуществляемых в рамках Программы, включая меры по профилактике распространения ВИЧ-инфекции и гепатита С</w:t>
      </w:r>
    </w:p>
    <w:bookmarkEnd w:id="12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3" w:name="sub_71"/>
      <w:r w:rsidRPr="001E19FD">
        <w:rPr>
          <w:rFonts w:ascii="PT Astra Serif" w:hAnsi="PT Astra Serif"/>
          <w:sz w:val="20"/>
          <w:szCs w:val="20"/>
        </w:rPr>
        <w:t>52.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действующими на базе областных государственных учреждений здравоохранения Томской области.</w:t>
      </w:r>
    </w:p>
    <w:bookmarkEnd w:id="13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здорового образа жизни: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4" w:name="sub_72"/>
      <w:r w:rsidRPr="001E19FD">
        <w:rPr>
          <w:rFonts w:ascii="PT Astra Serif" w:hAnsi="PT Astra Serif"/>
          <w:sz w:val="20"/>
          <w:szCs w:val="20"/>
        </w:rPr>
        <w:t>1) проведение профилактических прививок, включенных в национальный календарь профилактических прививок, профилактических прививок по эпидемическим показаниям в медицинских организациях Томской области;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5" w:name="sub_73"/>
      <w:bookmarkEnd w:id="14"/>
      <w:r w:rsidRPr="001E19FD">
        <w:rPr>
          <w:rFonts w:ascii="PT Astra Serif" w:hAnsi="PT Astra Serif"/>
          <w:sz w:val="20"/>
          <w:szCs w:val="20"/>
        </w:rPr>
        <w:t>2) диспансерное наблюдение граждан, страдающих социально значимыми заболеваниями, и граждан, страдающих заболеваниями, представляющими опасность для окружающих, а также граждан с хроническими заболеваниями, функциональными расстройствами и иными состояниями;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6" w:name="sub_74"/>
      <w:bookmarkEnd w:id="15"/>
      <w:r w:rsidRPr="001E19FD">
        <w:rPr>
          <w:rFonts w:ascii="PT Astra Serif" w:hAnsi="PT Astra Serif"/>
          <w:sz w:val="20"/>
          <w:szCs w:val="20"/>
        </w:rPr>
        <w:t>3) диспансерное наблюдение женщин в период беременности и послеродовой период;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7" w:name="sub_75"/>
      <w:bookmarkEnd w:id="16"/>
      <w:r w:rsidRPr="001E19FD">
        <w:rPr>
          <w:rFonts w:ascii="PT Astra Serif" w:hAnsi="PT Astra Serif"/>
          <w:sz w:val="20"/>
          <w:szCs w:val="20"/>
        </w:rPr>
        <w:t>4) диспансерное наблюдение здоровых детей, детей с хроническими заболеваниями и детей-инвалидов;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8" w:name="sub_76"/>
      <w:bookmarkEnd w:id="17"/>
      <w:r w:rsidRPr="001E19FD">
        <w:rPr>
          <w:rFonts w:ascii="PT Astra Serif" w:hAnsi="PT Astra Serif"/>
          <w:sz w:val="20"/>
          <w:szCs w:val="20"/>
        </w:rPr>
        <w:t>5) профилактические осмотры несовершеннолетних, в том числе перед поступлением их в образовательные организации и в период обучения в них;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19" w:name="sub_77"/>
      <w:bookmarkEnd w:id="18"/>
      <w:r w:rsidRPr="001E19FD">
        <w:rPr>
          <w:rFonts w:ascii="PT Astra Serif" w:hAnsi="PT Astra Serif"/>
          <w:sz w:val="20"/>
          <w:szCs w:val="20"/>
        </w:rPr>
        <w:t>6) профилактические мероприятия в целях выявления туберкулеза, вирусных гепатитов, ВИЧ-инфекций, сахарного диабета, артериальной гипертензии, злокачественных новообразований;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0" w:name="sub_78"/>
      <w:bookmarkEnd w:id="19"/>
      <w:r w:rsidRPr="001E19FD">
        <w:rPr>
          <w:rFonts w:ascii="PT Astra Serif" w:hAnsi="PT Astra Serif"/>
          <w:sz w:val="20"/>
          <w:szCs w:val="20"/>
        </w:rPr>
        <w:t>7) комплексное обследование (1 раз в год), динамическое наблюдение в центрах здоровья;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1" w:name="sub_79"/>
      <w:bookmarkEnd w:id="20"/>
      <w:r w:rsidRPr="001E19FD">
        <w:rPr>
          <w:rFonts w:ascii="PT Astra Serif" w:hAnsi="PT Astra Serif"/>
          <w:sz w:val="20"/>
          <w:szCs w:val="20"/>
        </w:rPr>
        <w:t>8) пропаганда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веществ, оказание медицинской помощи по отказу от курения и злоупотребления алкоголем.</w:t>
      </w:r>
    </w:p>
    <w:bookmarkEnd w:id="21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22" w:name="sub_80"/>
      <w:r w:rsidRPr="001E19FD">
        <w:rPr>
          <w:rFonts w:ascii="PT Astra Serif" w:hAnsi="PT Astra Serif"/>
          <w:color w:val="auto"/>
          <w:sz w:val="20"/>
          <w:szCs w:val="20"/>
        </w:rPr>
        <w:t>VIII. VII.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</w:p>
    <w:bookmarkEnd w:id="22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3" w:name="sub_81"/>
      <w:r w:rsidRPr="001E19FD">
        <w:rPr>
          <w:rFonts w:ascii="PT Astra Serif" w:hAnsi="PT Astra Serif"/>
          <w:sz w:val="20"/>
          <w:szCs w:val="20"/>
        </w:rPr>
        <w:t>53. 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показаний.</w:t>
      </w:r>
    </w:p>
    <w:bookmarkEnd w:id="23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24" w:name="sub_82"/>
      <w:r w:rsidRPr="001E19FD">
        <w:rPr>
          <w:rFonts w:ascii="PT Astra Serif" w:hAnsi="PT Astra Serif"/>
          <w:color w:val="auto"/>
          <w:sz w:val="20"/>
          <w:szCs w:val="20"/>
        </w:rPr>
        <w:t>VIII. VIII.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24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5" w:name="sub_83"/>
      <w:r w:rsidRPr="001E19FD">
        <w:rPr>
          <w:rFonts w:ascii="PT Astra Serif" w:hAnsi="PT Astra Serif"/>
          <w:sz w:val="20"/>
          <w:szCs w:val="20"/>
        </w:rPr>
        <w:t>54. Пациенты размещаются в палатах на два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25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федеральных санитарных правил.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26" w:name="sub_84"/>
      <w:r w:rsidRPr="001E19FD">
        <w:rPr>
          <w:rFonts w:ascii="PT Astra Serif" w:hAnsi="PT Astra Serif"/>
          <w:color w:val="auto"/>
          <w:sz w:val="20"/>
          <w:szCs w:val="20"/>
        </w:rPr>
        <w:t>VIII. IX.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26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7" w:name="sub_85"/>
      <w:r w:rsidRPr="001E19FD">
        <w:rPr>
          <w:rFonts w:ascii="PT Astra Serif" w:hAnsi="PT Astra Serif"/>
          <w:sz w:val="20"/>
          <w:szCs w:val="20"/>
        </w:rPr>
        <w:t>55. Медицинская помощь всех видов, включая специализированную, в том числе высокотехнологичную, медицинскую помощь, а также медицинскую реабилитацию детям-сиротам и детям, оставшимся без попечения родителей (далее - несовершеннолетние), в случае выявления у них заболеваний оказывается в соответствии с порядками оказания медицинской помощи и на основе стандартов медицинской помощи.</w:t>
      </w:r>
    </w:p>
    <w:bookmarkEnd w:id="27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В случае выявления у несовершеннолетнего заболевания по результатам проведенного медицинского обследования, диспансеризации, при наличии медицинских показаний к оказанию первичной специализированной медико-санитарной помощи или специализированной медицинской помощи лечащий врач (врач-специалист по профилю заболевания) медицинской организации, оказывающей первичную медико-санитарную помощь и (или) первичную специализированную медико-санитарную помощь, в том числе проводящей диспансеризацию несовершеннолетних, направляет несовершеннолетнего для оказания специализированной медицинской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Организация оказания специализированной, в том числе высокотехнологичной, медицинской помощи несовершеннолетним осуществляется в соответствии с </w:t>
      </w:r>
      <w:hyperlink r:id="rId2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Положением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об организации оказания специализированной, в том числе высокотехнологичной, медицинской помощи, утвержденным </w:t>
      </w:r>
      <w:hyperlink r:id="rId2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02.12.2014 N 796н "Об утверждении Положения об организации оказания специализированной, в том числе высокотехнологичной, медицинской помощи", и </w:t>
      </w:r>
      <w:hyperlink r:id="rId22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Порядком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здравоохранения, утвержденным </w:t>
      </w:r>
      <w:hyperlink r:id="rId23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02.10.2019 N 824н "Об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установлении показаний для оказания специализированной медицинской помощи в экстренной форме, а также при наличии эпидемических показаний несовершеннолетний доставляется выездной бригадой скорой медицинской помощи в медицинскую организацию, оказывающую специализированную медицинскую помощь, незамедлительно.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28" w:name="sub_86"/>
      <w:r w:rsidRPr="001E19FD">
        <w:rPr>
          <w:rFonts w:ascii="PT Astra Serif" w:hAnsi="PT Astra Serif"/>
          <w:color w:val="auto"/>
          <w:sz w:val="20"/>
          <w:szCs w:val="20"/>
        </w:rPr>
        <w:t>VIII. X. 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</w:t>
      </w:r>
    </w:p>
    <w:bookmarkEnd w:id="28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29" w:name="sub_87"/>
      <w:r w:rsidRPr="001E19FD">
        <w:rPr>
          <w:rFonts w:ascii="PT Astra Serif" w:hAnsi="PT Astra Serif"/>
          <w:sz w:val="20"/>
          <w:szCs w:val="20"/>
        </w:rPr>
        <w:t>56. 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при сопровождении медицинским работником такого пациента.</w:t>
      </w:r>
    </w:p>
    <w:bookmarkEnd w:id="29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Для предоставления транспортных услуг пациенту необходимо заключение лечащего врача, или специалиста-консультанта, или врачебной комиссии медицинской организации, оказывающей медицинскую помощь в стационарных условиях, о направлении пациента в другую медицинскую организацию.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Лечащий врач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 для оказания </w:t>
      </w:r>
      <w:r w:rsidRPr="001E19FD">
        <w:rPr>
          <w:rFonts w:ascii="PT Astra Serif" w:hAnsi="PT Astra Serif"/>
          <w:sz w:val="20"/>
          <w:szCs w:val="20"/>
        </w:rPr>
        <w:lastRenderedPageBreak/>
        <w:t>медицинской помощи.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врача, а также определяется медицинский работник организации, который будет осуществлять сопровождение пациента при его транспортировке.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Транспортировка пациента из медицинской организации осуществляется транспортом медицинской организации.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Подготовка пациента к транспортировке проводится медицинским персоналом медицинской организации, в которой пациент находится на лечении в стационарных условиях.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30" w:name="sub_88"/>
      <w:r w:rsidRPr="001E19FD">
        <w:rPr>
          <w:rFonts w:ascii="PT Astra Serif" w:hAnsi="PT Astra Serif"/>
          <w:color w:val="auto"/>
          <w:sz w:val="20"/>
          <w:szCs w:val="20"/>
        </w:rPr>
        <w:t>VIII. XI. Диспансеризация для отдельных категорий граждан, профилактические осмотры несовершеннолетних</w:t>
      </w:r>
    </w:p>
    <w:bookmarkEnd w:id="3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1" w:name="sub_89"/>
      <w:r w:rsidRPr="001E19FD">
        <w:rPr>
          <w:rFonts w:ascii="PT Astra Serif" w:hAnsi="PT Astra Serif"/>
          <w:sz w:val="20"/>
          <w:szCs w:val="20"/>
        </w:rPr>
        <w:t>57. Диспансеризация отдельных категорий граждан, включая определенные группы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пребывающих в стационарных учреждениях,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проводится в соответствии с порядками, утверждаемыми Министерством здравоохранения Российской Федерации.</w:t>
      </w:r>
    </w:p>
    <w:bookmarkEnd w:id="31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Диспансеризация населения проводится один раз в три года в возрасте от 18 до 39 лет включительно, ежегодно в возрасте 40 лет и старше, а также в отношении отдельных категорий граждан, включая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возраста, и работающих граждан, являющихся получателями пенсии по старости или пенсии за выслугу лет.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Ежегодно проводится 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отсутствии в медицинской организации врачей-специалистов для прохождения диспансеризации населения, в том числе детского, консультация врачей-специалистов проводится с привлечением других медицинских работников других медицинских организаций в порядке, установленном федеральным законодательством.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При отсутствии возможности проведения лабораторных и функциональных исследований в медицинской организации для проведения диспансеризации населения, в том числе детского, указанные исследования проводятся в другой медицинской организации в порядке, установленном федеральным законодательством.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Организацию проведения диспансеризации на территории Томской области осуществляет Департамент здравоохранения Томской области.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Профилактические медицинские осмотры проводятся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Профилактические медицинские осмотры проводятся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>Профилактические медицинские осмотры несовершеннолетних проводятся в соответствии с порядком, утвержденным Министерством здравоохранения Российской Федерации.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32" w:name="sub_90"/>
      <w:r w:rsidRPr="001E19FD">
        <w:rPr>
          <w:rFonts w:ascii="PT Astra Serif" w:hAnsi="PT Astra Serif"/>
          <w:color w:val="auto"/>
          <w:sz w:val="20"/>
          <w:szCs w:val="20"/>
        </w:rPr>
        <w:t>VIII. XII. 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bookmarkEnd w:id="32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3" w:name="sub_91"/>
      <w:r w:rsidRPr="001E19FD">
        <w:rPr>
          <w:rFonts w:ascii="PT Astra Serif" w:hAnsi="PT Astra Serif"/>
          <w:sz w:val="20"/>
          <w:szCs w:val="20"/>
        </w:rPr>
        <w:t xml:space="preserve">58. При оказании паллиативной медицинской помощи гражданину предоставляются для использования на дому медицинские изделия в соответствии с </w:t>
      </w:r>
      <w:hyperlink r:id="rId24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перечнем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медицинских изделий, предназначенных для поддержания </w:t>
      </w:r>
      <w:r w:rsidRPr="001E19FD">
        <w:rPr>
          <w:rFonts w:ascii="PT Astra Serif" w:hAnsi="PT Astra Serif"/>
          <w:sz w:val="20"/>
          <w:szCs w:val="20"/>
        </w:rPr>
        <w:lastRenderedPageBreak/>
        <w:t xml:space="preserve">функций органов и систем организма человека, предоставляемых для использования на дому, утвержденным </w:t>
      </w:r>
      <w:hyperlink r:id="rId25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31.05.2019 N 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(далее - Приказ Министерства здравоохранения Российской Федерации от 31.05.2019 N 348н).</w:t>
      </w:r>
    </w:p>
    <w:bookmarkEnd w:id="33"/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Передача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по договору безвозмездного пользования в соответствии с </w:t>
      </w:r>
      <w:hyperlink r:id="rId26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Порядком</w:t>
        </w:r>
      </w:hyperlink>
      <w:r w:rsidRPr="001E19FD">
        <w:rPr>
          <w:rFonts w:ascii="PT Astra Serif" w:hAnsi="PT Astra Serif"/>
          <w:sz w:val="20"/>
          <w:szCs w:val="20"/>
        </w:rPr>
        <w:t xml:space="preserve">, утвержденным </w:t>
      </w:r>
      <w:hyperlink r:id="rId27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10.07.2019 N 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Назначение, выписка наркотических и психотропных лекарственных препаратов гражданам, нуждающимся в оказании паллиативной медицинской помощи, при посещении на дому осуществляются в соответствии с </w:t>
      </w:r>
      <w:hyperlink r:id="rId28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Порядком</w:t>
        </w:r>
      </w:hyperlink>
      <w:r w:rsidRPr="001E19FD">
        <w:rPr>
          <w:rFonts w:ascii="PT Astra Serif" w:hAnsi="PT Astra Serif"/>
          <w:sz w:val="20"/>
          <w:szCs w:val="20"/>
        </w:rPr>
        <w:t xml:space="preserve">, утвержденным </w:t>
      </w:r>
      <w:hyperlink r:id="rId29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24.11.2021 N 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Департамент здравоохранения Томской области определяет медицинские организации, ответственные за организацию работы по обеспечению граждан, нуждающихся в оказании паллиативной медицинской помощи на дому, медицинскими изделиями в соответствии с </w:t>
      </w:r>
      <w:hyperlink r:id="rId30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перечнем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утвержденным </w:t>
      </w:r>
      <w:hyperlink r:id="rId3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Приказом</w:t>
        </w:r>
      </w:hyperlink>
      <w:r w:rsidRPr="001E19FD">
        <w:rPr>
          <w:rFonts w:ascii="PT Astra Serif" w:hAnsi="PT Astra Serif"/>
          <w:sz w:val="20"/>
          <w:szCs w:val="20"/>
        </w:rPr>
        <w:t xml:space="preserve"> Министерства здравоохранения Российской Федерации от 31.05.2019 N 348н, а также обеспечению граждан наркотическими и психотропными лекарственными препаратами.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34" w:name="sub_92"/>
      <w:r w:rsidRPr="001E19FD">
        <w:rPr>
          <w:rFonts w:ascii="PT Astra Serif" w:hAnsi="PT Astra Serif"/>
          <w:color w:val="auto"/>
          <w:sz w:val="20"/>
          <w:szCs w:val="20"/>
        </w:rPr>
        <w:t>VIII. XIII. Перечни стоматологических материалов и лекарственных препаратов, используемых при оказании первичной медико-санитарной специализированной стоматологической помощи, оказанной в амбулаторных условиях взрослому и детскому населению по программе обязательного медицинского страхования по разделам "Стоматология"</w:t>
      </w:r>
    </w:p>
    <w:bookmarkEnd w:id="34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  <w:bookmarkStart w:id="35" w:name="sub_93"/>
      <w:r w:rsidRPr="001E19FD">
        <w:rPr>
          <w:rFonts w:ascii="PT Astra Serif" w:hAnsi="PT Astra Serif"/>
          <w:sz w:val="20"/>
          <w:szCs w:val="20"/>
        </w:rPr>
        <w:t xml:space="preserve">59. При оказании первичной медико-санитарной специализированной стоматологической помощи в амбулаторных условиях населению по программе обязательного медицинского страхования по профилю "Стоматология" применяются стоматологические материалы и лекарственные препараты в соответствии с </w:t>
      </w:r>
      <w:hyperlink w:anchor="sub_101" w:history="1">
        <w:r w:rsidRPr="001E19FD">
          <w:rPr>
            <w:rStyle w:val="a4"/>
            <w:rFonts w:ascii="PT Astra Serif" w:hAnsi="PT Astra Serif" w:cs="Times New Roman CYR"/>
            <w:color w:val="auto"/>
            <w:sz w:val="20"/>
            <w:szCs w:val="20"/>
          </w:rPr>
          <w:t>приложением N 2</w:t>
        </w:r>
      </w:hyperlink>
      <w:r w:rsidRPr="001E19FD">
        <w:rPr>
          <w:rFonts w:ascii="PT Astra Serif" w:hAnsi="PT Astra Serif"/>
          <w:sz w:val="20"/>
          <w:szCs w:val="20"/>
        </w:rPr>
        <w:t xml:space="preserve"> к Программе.</w:t>
      </w:r>
    </w:p>
    <w:bookmarkEnd w:id="35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color w:val="auto"/>
          <w:sz w:val="20"/>
          <w:szCs w:val="20"/>
        </w:rPr>
      </w:pPr>
      <w:bookmarkStart w:id="36" w:name="sub_94"/>
      <w:r w:rsidRPr="001E19FD">
        <w:rPr>
          <w:rFonts w:ascii="PT Astra Serif" w:hAnsi="PT Astra Serif"/>
          <w:color w:val="auto"/>
          <w:sz w:val="20"/>
          <w:szCs w:val="20"/>
        </w:rPr>
        <w:t>IX. Целевые значения критериев доступности и качества медицинской помощи, оказываемой в рамках Программы</w:t>
      </w:r>
    </w:p>
    <w:bookmarkEnd w:id="36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C30C5C">
      <w:headerReference w:type="default" r:id="rId32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C1" w:rsidRDefault="00404BC1">
      <w:r>
        <w:separator/>
      </w:r>
    </w:p>
  </w:endnote>
  <w:endnote w:type="continuationSeparator" w:id="1">
    <w:p w:rsidR="00404BC1" w:rsidRDefault="0040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C1" w:rsidRDefault="00404BC1">
      <w:r>
        <w:separator/>
      </w:r>
    </w:p>
  </w:footnote>
  <w:footnote w:type="continuationSeparator" w:id="1">
    <w:p w:rsidR="00404BC1" w:rsidRDefault="0040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A41BB"/>
    <w:rsid w:val="000F05D8"/>
    <w:rsid w:val="001E19FD"/>
    <w:rsid w:val="001F325B"/>
    <w:rsid w:val="001F5CA5"/>
    <w:rsid w:val="00217028"/>
    <w:rsid w:val="002B4AA1"/>
    <w:rsid w:val="002E57AE"/>
    <w:rsid w:val="002F6C1F"/>
    <w:rsid w:val="00385433"/>
    <w:rsid w:val="003A3B3A"/>
    <w:rsid w:val="00404BC1"/>
    <w:rsid w:val="00411388"/>
    <w:rsid w:val="00496C2F"/>
    <w:rsid w:val="0068678D"/>
    <w:rsid w:val="006E4478"/>
    <w:rsid w:val="00714688"/>
    <w:rsid w:val="007223BC"/>
    <w:rsid w:val="007543F5"/>
    <w:rsid w:val="00775B8C"/>
    <w:rsid w:val="00922874"/>
    <w:rsid w:val="0096180C"/>
    <w:rsid w:val="009F694F"/>
    <w:rsid w:val="00A15ED7"/>
    <w:rsid w:val="00A96071"/>
    <w:rsid w:val="00AF33A9"/>
    <w:rsid w:val="00B83E30"/>
    <w:rsid w:val="00C30C5C"/>
    <w:rsid w:val="00E07CB6"/>
    <w:rsid w:val="00E47AEE"/>
    <w:rsid w:val="00E927D1"/>
    <w:rsid w:val="00EB634E"/>
    <w:rsid w:val="00F34487"/>
    <w:rsid w:val="00F60FD3"/>
    <w:rsid w:val="00F7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70179998/0" TargetMode="External"/><Relationship Id="rId13" Type="http://schemas.openxmlformats.org/officeDocument/2006/relationships/hyperlink" Target="https://demo.garant.ru/document/redirect/70168888/0" TargetMode="External"/><Relationship Id="rId18" Type="http://schemas.openxmlformats.org/officeDocument/2006/relationships/hyperlink" Target="https://demo.garant.ru/document/redirect/12148567/0" TargetMode="External"/><Relationship Id="rId26" Type="http://schemas.openxmlformats.org/officeDocument/2006/relationships/hyperlink" Target="https://demo.garant.ru/document/redirect/72767874/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mo.garant.ru/document/redirect/70859232/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emo.garant.ru/document/redirect/12191967/21" TargetMode="External"/><Relationship Id="rId12" Type="http://schemas.openxmlformats.org/officeDocument/2006/relationships/hyperlink" Target="https://demo.garant.ru/document/redirect/70168888/2000" TargetMode="External"/><Relationship Id="rId17" Type="http://schemas.openxmlformats.org/officeDocument/2006/relationships/hyperlink" Target="https://demo.garant.ru/document/redirect/400160860/0" TargetMode="External"/><Relationship Id="rId25" Type="http://schemas.openxmlformats.org/officeDocument/2006/relationships/hyperlink" Target="https://demo.garant.ru/document/redirect/72283942/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mo.garant.ru/document/redirect/405015919/3" TargetMode="External"/><Relationship Id="rId20" Type="http://schemas.openxmlformats.org/officeDocument/2006/relationships/hyperlink" Target="https://demo.garant.ru/document/redirect/70859232/1000" TargetMode="External"/><Relationship Id="rId29" Type="http://schemas.openxmlformats.org/officeDocument/2006/relationships/hyperlink" Target="https://demo.garant.ru/document/redirect/40313714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document/redirect/47077604/0" TargetMode="External"/><Relationship Id="rId24" Type="http://schemas.openxmlformats.org/officeDocument/2006/relationships/hyperlink" Target="https://demo.garant.ru/document/redirect/72283942/100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emo.garant.ru/document/redirect/405015919/0" TargetMode="External"/><Relationship Id="rId23" Type="http://schemas.openxmlformats.org/officeDocument/2006/relationships/hyperlink" Target="https://demo.garant.ru/document/redirect/73056290/0" TargetMode="External"/><Relationship Id="rId28" Type="http://schemas.openxmlformats.org/officeDocument/2006/relationships/hyperlink" Target="https://demo.garant.ru/document/redirect/403137145/1000" TargetMode="External"/><Relationship Id="rId10" Type="http://schemas.openxmlformats.org/officeDocument/2006/relationships/hyperlink" Target="https://demo.garant.ru/document/redirect/70184486/0" TargetMode="External"/><Relationship Id="rId19" Type="http://schemas.openxmlformats.org/officeDocument/2006/relationships/hyperlink" Target="https://demo.garant.ru/document/redirect/70189010/0" TargetMode="External"/><Relationship Id="rId31" Type="http://schemas.openxmlformats.org/officeDocument/2006/relationships/hyperlink" Target="https://demo.garant.ru/document/redirect/722839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70338452/0" TargetMode="External"/><Relationship Id="rId14" Type="http://schemas.openxmlformats.org/officeDocument/2006/relationships/hyperlink" Target="https://demo.garant.ru/document/redirect/7794839/0" TargetMode="External"/><Relationship Id="rId22" Type="http://schemas.openxmlformats.org/officeDocument/2006/relationships/hyperlink" Target="https://demo.garant.ru/document/redirect/73056290/1000" TargetMode="External"/><Relationship Id="rId27" Type="http://schemas.openxmlformats.org/officeDocument/2006/relationships/hyperlink" Target="https://demo.garant.ru/document/redirect/72767874/0" TargetMode="External"/><Relationship Id="rId30" Type="http://schemas.openxmlformats.org/officeDocument/2006/relationships/hyperlink" Target="https://demo.garant.ru/document/redirect/7228394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4512</Words>
  <Characters>25724</Characters>
  <Application>Microsoft Office Word</Application>
  <DocSecurity>0</DocSecurity>
  <Lines>214</Lines>
  <Paragraphs>60</Paragraphs>
  <ScaleCrop>false</ScaleCrop>
  <Company>НПП "Гарант-Сервис"</Company>
  <LinksUpToDate>false</LinksUpToDate>
  <CharactersWithSpaces>30176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4</cp:revision>
  <dcterms:created xsi:type="dcterms:W3CDTF">2024-01-26T03:03:00Z</dcterms:created>
  <dcterms:modified xsi:type="dcterms:W3CDTF">2024-01-26T03:11:00Z</dcterms:modified>
</cp:coreProperties>
</file>