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0" w:name="sub_21"/>
      <w:r w:rsidRPr="001E19FD">
        <w:rPr>
          <w:rFonts w:ascii="PT Astra Serif" w:hAnsi="PT Astra Serif"/>
          <w:color w:val="auto"/>
          <w:sz w:val="20"/>
          <w:szCs w:val="20"/>
        </w:rPr>
        <w:t>IV. Территориальная программа обязательного медицинского страхования</w:t>
      </w:r>
    </w:p>
    <w:bookmarkEnd w:id="0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Территориальная программа обязательного медицинского страхования является составной частью Программы.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1" w:name="sub_22"/>
      <w:r w:rsidRPr="001E19FD">
        <w:rPr>
          <w:rFonts w:ascii="PT Astra Serif" w:hAnsi="PT Astra Serif"/>
          <w:sz w:val="20"/>
          <w:szCs w:val="20"/>
        </w:rPr>
        <w:t>13. В рамках территориальной программы обязательного медицинского страхования застрахованным лицам:</w:t>
      </w:r>
    </w:p>
    <w:bookmarkEnd w:id="1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оказываются первичная медико-санитарная помощь, включая профилактическую помощь, а также проведение медицинским психологом консультирования пациентов по вопросам, связанным с имеющимся заболеванием и/или состоянием, включенным в базовую программу обязательного медицинского страхования: лиц, состоящих на диспансерном наблюдении; женщин в период беременности, родов и послеродовой период,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sub_18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разделе III</w:t>
        </w:r>
      </w:hyperlink>
      <w:r w:rsidRPr="001E19FD">
        <w:rPr>
          <w:rFonts w:ascii="PT Astra Serif" w:hAnsi="PT Astra Serif"/>
          <w:sz w:val="20"/>
          <w:szCs w:val="20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sub_18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разделе III</w:t>
        </w:r>
      </w:hyperlink>
      <w:r w:rsidRPr="001E19FD">
        <w:rPr>
          <w:rFonts w:ascii="PT Astra Serif" w:hAnsi="PT Astra Serif"/>
          <w:sz w:val="20"/>
          <w:szCs w:val="20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отдельных категорий из них, указанных в разделе III Программы,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стационара, а при невозможности такого осуществления - вне медицинской организации на дому или силами выездных медицинских бригад,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2" w:name="sub_23"/>
      <w:r w:rsidRPr="001E19FD">
        <w:rPr>
          <w:rFonts w:ascii="PT Astra Serif" w:hAnsi="PT Astra Serif"/>
          <w:sz w:val="20"/>
          <w:szCs w:val="20"/>
        </w:rPr>
        <w:t xml:space="preserve">14. Порядок формирования тарифа на оплату медицинской помощи по обязательному медицинскому страхованию устанавливается в соответствии с </w:t>
      </w:r>
      <w:hyperlink r:id="rId7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Федеральным законом</w:t>
        </w:r>
      </w:hyperlink>
      <w:r w:rsidRPr="001E19FD">
        <w:rPr>
          <w:rFonts w:ascii="PT Astra Serif" w:hAnsi="PT Astra Serif"/>
          <w:sz w:val="20"/>
          <w:szCs w:val="20"/>
        </w:rPr>
        <w:t xml:space="preserve"> "Об обязательном медицинском страховании в Российской Федерации".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 тыс. рублей за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 млн.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bookmarkEnd w:id="2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(далее - специализированная медицинская помощь в рамках базовой программы обязательного медицинского страхования), устанавливаются в соответствии со </w:t>
      </w:r>
      <w:hyperlink r:id="rId8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статьей 30</w:t>
        </w:r>
      </w:hyperlink>
      <w:r w:rsidRPr="001E19FD">
        <w:rPr>
          <w:rFonts w:ascii="PT Astra Serif" w:hAnsi="PT Astra Serif"/>
          <w:sz w:val="20"/>
          <w:szCs w:val="20"/>
        </w:rPr>
        <w:t xml:space="preserve"> Федерального закона "Об обязательном медицинском страховании в Российской Федерации" тарифным соглашением, заключаемым между уполномоченным исполнительным органом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9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статьей 76</w:t>
        </w:r>
      </w:hyperlink>
      <w:r w:rsidRPr="001E19FD">
        <w:rPr>
          <w:rFonts w:ascii="PT Astra Serif" w:hAnsi="PT Astra Serif"/>
          <w:sz w:val="20"/>
          <w:szCs w:val="20"/>
        </w:rPr>
        <w:t xml:space="preserve"> Федерального закона "Об основах охраны здоровья граждан в Российской Федерации", и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lastRenderedPageBreak/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медицинским работникам фельдшерских здравпунктов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врачам-специалистам за оказанную медицинскую помощь в амбулаторных условиях.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Территориальный фонд обязательного медицинского страхования Томской области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Томской области, участвующих в территориальной программе обязательного медицинского страхования,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Департамента здравоохранения Томской области для принятия необходимых мер по обеспечению должного уровня оплаты труда медицинских работников.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Перечень групп заболеваний, состояний для оплаты первичной медико-санитарной помощи и специализированной медицинской помощи (за исключением высокотехнологичной медицинской помощи) в условиях дневного стационара и специализированной медицинской помощи (за исключением высокотехнологичной медицинской помощи) в стационарных условиях приведен в </w:t>
      </w:r>
      <w:hyperlink r:id="rId10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приложении N 4</w:t>
        </w:r>
      </w:hyperlink>
      <w:r w:rsidRPr="001E19FD">
        <w:rPr>
          <w:rFonts w:ascii="PT Astra Serif" w:hAnsi="PT Astra Serif"/>
          <w:sz w:val="20"/>
          <w:szCs w:val="20"/>
        </w:rPr>
        <w:t xml:space="preserve"> к </w:t>
      </w:r>
      <w:hyperlink r:id="rId11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постановлению</w:t>
        </w:r>
      </w:hyperlink>
      <w:r w:rsidRPr="001E19FD">
        <w:rPr>
          <w:rFonts w:ascii="PT Astra Serif" w:hAnsi="PT Astra Serif"/>
          <w:sz w:val="20"/>
          <w:szCs w:val="20"/>
        </w:rPr>
        <w:t xml:space="preserve"> Правительства Российской Федерации N 2353.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Style w:val="a3"/>
          <w:rFonts w:ascii="PT Astra Serif" w:hAnsi="PT Astra Serif"/>
          <w:bCs/>
          <w:color w:val="auto"/>
          <w:sz w:val="20"/>
          <w:szCs w:val="20"/>
        </w:rPr>
        <w:t>Профилактические медицинские осмотры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3" w:name="sub_24"/>
      <w:r w:rsidRPr="001E19FD">
        <w:rPr>
          <w:rFonts w:ascii="PT Astra Serif" w:hAnsi="PT Astra Serif"/>
          <w:sz w:val="20"/>
          <w:szCs w:val="20"/>
        </w:rPr>
        <w:t>15. В рамках проведения профилактических мероприятий Департамент здравоохранения Томской области:</w:t>
      </w:r>
    </w:p>
    <w:bookmarkEnd w:id="3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записи на медицинские исследования, осуществляемой в том числе очно, по телефону и дистанционно.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организацию, а также на официальном сайте медицинской организации в сети "Интернет".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населения, для выявления болезней эндокринной системы, органов пищеварения и других заболеваний, а также для оценки репродуктивного здоровья женщин и мужчин.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Граждане, переболевшие новой коронавирусной инфекцией (COVID-19), в течение года после заболевания вправе пройти углубленную диспансеризацию, включающую исследования и иные медицинские вмешательства по перечню согласно </w:t>
      </w:r>
      <w:hyperlink r:id="rId12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приложению N 2</w:t>
        </w:r>
      </w:hyperlink>
      <w:r w:rsidRPr="001E19FD">
        <w:rPr>
          <w:rFonts w:ascii="PT Astra Serif" w:hAnsi="PT Astra Serif"/>
          <w:sz w:val="20"/>
          <w:szCs w:val="20"/>
        </w:rPr>
        <w:t xml:space="preserve"> к </w:t>
      </w:r>
      <w:hyperlink r:id="rId13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постановлению</w:t>
        </w:r>
      </w:hyperlink>
      <w:r w:rsidRPr="001E19FD">
        <w:rPr>
          <w:rFonts w:ascii="PT Astra Serif" w:hAnsi="PT Astra Serif"/>
          <w:sz w:val="20"/>
          <w:szCs w:val="20"/>
        </w:rPr>
        <w:t xml:space="preserve"> Правительства Российской Федерации N 2353.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Медицинские организации, в том числе федеральные медицинские организации,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 Томской области. Территориальный фонд обязательного медицинского страхования Томской области доводит указанный перечень до страховых медицинских организаций, в которых застрахованы граждане, подлежащие углубленной диспансеризации.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</w:t>
      </w:r>
      <w:hyperlink r:id="rId14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федеральной государственной информационной системы</w:t>
        </w:r>
      </w:hyperlink>
      <w:r w:rsidRPr="001E19FD">
        <w:rPr>
          <w:rFonts w:ascii="PT Astra Serif" w:hAnsi="PT Astra Serif"/>
          <w:sz w:val="20"/>
          <w:szCs w:val="20"/>
        </w:rPr>
        <w:t xml:space="preserve"> "Единый портал государственных и муниципальных услуг (функций)", сети радиотелефонной связи (смс-сообщения) и иных доступных средств связи.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Запись граждан на углубленную диспансеризацию осуществляется в том числе с использованием </w:t>
      </w:r>
      <w:hyperlink r:id="rId15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федеральной государственной информационной системы</w:t>
        </w:r>
      </w:hyperlink>
      <w:r w:rsidRPr="001E19FD">
        <w:rPr>
          <w:rFonts w:ascii="PT Astra Serif" w:hAnsi="PT Astra Serif"/>
          <w:sz w:val="20"/>
          <w:szCs w:val="20"/>
        </w:rPr>
        <w:t xml:space="preserve"> "Единый портал государственных и муниципальных услуг (функций)".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</w:t>
      </w:r>
      <w:hyperlink r:id="rId16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пунктом 1 приложения N 2</w:t>
        </w:r>
      </w:hyperlink>
      <w:r w:rsidRPr="001E19FD">
        <w:rPr>
          <w:rFonts w:ascii="PT Astra Serif" w:hAnsi="PT Astra Serif"/>
          <w:sz w:val="20"/>
          <w:szCs w:val="20"/>
        </w:rPr>
        <w:t xml:space="preserve"> к </w:t>
      </w:r>
      <w:hyperlink r:id="rId17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постановлению</w:t>
        </w:r>
      </w:hyperlink>
      <w:r w:rsidRPr="001E19FD">
        <w:rPr>
          <w:rFonts w:ascii="PT Astra Serif" w:hAnsi="PT Astra Serif"/>
          <w:sz w:val="20"/>
          <w:szCs w:val="20"/>
        </w:rPr>
        <w:t xml:space="preserve"> Правительства Российской Федерации N 2353.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lastRenderedPageBreak/>
        <w:t>По результатам углубленной диспансеризации в случае выявления хронических неинфекционных заболеваний, в том числе связанных с перенесенной новой коронавирусной инфекцией (COVID-19), гражданин в течение 3-х рабочих дней в установленном порядке направляется на дополнительные обследования, ставится на диспансерное наблюдение. При наличии показаний ему оказываются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 в стационарных условиях.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Для женщин и мужчин репродуктивного возраста поэтапно в зависимости от возрастных групп организуется проведение диспансеризации, направленной на оценку их репродуктивного здоровья (далее - диспансеризация для оценки репродуктивного здоровья женщин и мужчин), в порядке, установленном Министерством здравоохранения Российской Федерации.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Департамент здравоохранения Томской области размещает на своем официальном сайте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 и диспансеризацию, направленную на оценку репродуктивного здоровья, а также порядок их работы.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 целях приближения профилактических медицинских осмотров и диспансеризации к месту жительства, работы или учебы гражданина медицинские организации формируют выездные медицинские бригады. О дате и месте выезда такой бригады медицинские организации за 7 календарных дней информируют страховые медицинские организации, к которым прикреплены граждане, подлежащие диспансеризации и проживающие в месте выезда медицинской бригады. Страховые медицинские организации в свою очередь не менее чем за 3 дня информируют застрахованных лиц, проживающих в месте выезда, о дате выезда медицинской бригады и месте проведения профилактических медицинских осмотров и диспансеризации, а также осуществляют мониторинг прихода граждан на указанные осмотры с передачей соответствующих данных Территориальному фонду обязательного медицинского страхования Томской области.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Территориальный фонд обязательного медицинского страхования Томской области осуществляет сбор данных о количестве лиц, прошедших профилактические медицинские осмотры, диспансеризацию, углубленную диспансеризацию и диспансеризацию для оценки репродуктивного здоровья женщин и мужчин, результатах проведенных мероприятий и передают агрегированные сведения Федеральному фонду обязательного медицинского страхования в порядке, установленном законодательством Российской Федерации.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Дополнительная 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</w:t>
      </w:r>
      <w:hyperlink r:id="rId18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трудовым законодательством</w:t>
        </w:r>
      </w:hyperlink>
      <w:r w:rsidRPr="001E19FD">
        <w:rPr>
          <w:rFonts w:ascii="PT Astra Serif" w:hAnsi="PT Astra Serif"/>
          <w:sz w:val="20"/>
          <w:szCs w:val="20"/>
        </w:rPr>
        <w:t xml:space="preserve"> Российской Федерации в случае работы за пределами установленной для них продолжительности рабочего времени.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проведении профилактического медицинского осмотра,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 случае выявления у гражданина в течение 1 года после прохождения диспансеризации заболевания, которое могло быть выявлено на диспансеризации, страховая медицинская организация проводит по случаю диспансеризации медико-экономическую экспертизу и, при необходимости, - экспертизу качества медицинской помощи.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Работодатель и (или) образовательная организация может организовывать проведение диспансеризации работников и (или) обучающихся в медицинских организациях работодателя и (или) образовательной организации и их структурных подразделениях (кабинет врача, здравпункт, медицинский кабинет, медицинская часть и другие подразделения), осуществляющих медицинское обслуживание работающих граждан и (или) обучающихся в образовательных организациях.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Результаты диспансеризации, организованной работодателем и (или) образовательной организацией, передаются в государственную информационную систему субъекта Российской Федерации в сфере здравоохранения в виде электронного медицинского документа.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 случае участия работодателя и (или)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(или) обучающихся подлежит оплате за счет обязательного медицинского страхования.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Style w:val="a3"/>
          <w:rFonts w:ascii="PT Astra Serif" w:hAnsi="PT Astra Serif"/>
          <w:bCs/>
          <w:color w:val="auto"/>
          <w:sz w:val="20"/>
          <w:szCs w:val="20"/>
        </w:rPr>
        <w:t>Диспансерное наблюдение за гражданами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4" w:name="sub_25"/>
      <w:r w:rsidRPr="001E19FD">
        <w:rPr>
          <w:rFonts w:ascii="PT Astra Serif" w:hAnsi="PT Astra Serif"/>
          <w:sz w:val="20"/>
          <w:szCs w:val="20"/>
        </w:rPr>
        <w:t xml:space="preserve">16.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</w:t>
      </w:r>
      <w:r w:rsidRPr="001E19FD">
        <w:rPr>
          <w:rFonts w:ascii="PT Astra Serif" w:hAnsi="PT Astra Serif"/>
          <w:sz w:val="20"/>
          <w:szCs w:val="20"/>
        </w:rPr>
        <w:lastRenderedPageBreak/>
        <w:t>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</w:t>
      </w:r>
    </w:p>
    <w:bookmarkEnd w:id="4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Диспансерное наблюдение проводится в порядке, утвержденном Министерством здравоохранения Российской Федерации.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Оценку соблюдения периодичности диспансерных приемов (осмотров, консультаций) осуществляют страховые медицинские организации с передачей сведений о фактах несоблюдения периодичности диспансерных приемов (осмотров, консультаций) Департаменту здравоохранения Томской области и Территориальному фонду обязательного медицинского страхования Томской области для осуществления ведомственного контроля качества и безопасности медицинской деятельности.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Медицинские организации с использованием </w:t>
      </w:r>
      <w:hyperlink r:id="rId19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Единого портала</w:t>
        </w:r>
      </w:hyperlink>
      <w:r w:rsidRPr="001E19FD">
        <w:rPr>
          <w:rFonts w:ascii="PT Astra Serif" w:hAnsi="PT Astra Serif"/>
          <w:sz w:val="20"/>
          <w:szCs w:val="20"/>
        </w:rPr>
        <w:t xml:space="preserve"> государственных услуг Российской Федерации, а также с привлечением страховых медицинских организаций информируют застрахованное лицо, за которым установлено диспансерное наблюдение, о рекомендуемых сроках явки на диспансерный прием (осмотр, консультацию).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Style w:val="a3"/>
          <w:rFonts w:ascii="PT Astra Serif" w:hAnsi="PT Astra Serif"/>
          <w:bCs/>
          <w:color w:val="auto"/>
          <w:sz w:val="20"/>
          <w:szCs w:val="20"/>
        </w:rPr>
        <w:t>Способы оплаты медицинской помощи, оказываемой застрахованным лицам по обязательному медицинскому страхованию в Российской Федерации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5" w:name="sub_26"/>
      <w:r w:rsidRPr="001E19FD">
        <w:rPr>
          <w:rFonts w:ascii="PT Astra Serif" w:hAnsi="PT Astra Serif"/>
          <w:sz w:val="20"/>
          <w:szCs w:val="20"/>
        </w:rPr>
        <w:t>17. 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bookmarkEnd w:id="5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оплате медицинской помощи, оказанной в амбулаторных условиях: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исследования и патолого-анатомические исследования биопсийного (операционного) материала), на проведение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мужчин, а также средств на оплату диспансерного наблюдения, и финансовое обеспечение фельдшерских здравпунктов,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за единицу объема медицинской помощи - за медицинскую услугу, посещение, обращение (законченный случай) при оплате: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медицинской помощи, оказанной в медицинских организациях, не имеющих прикрепившихся лиц;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диспансерного наблюдения отдельных категорий граждан из числа взрослого населения, включая диспансерное наблюдение работающих граждан и (или) обучающихся в образовательных организациях;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медицинской помощи по медицинской реабилитации (комплексное посещение);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оплате медицинской помощи, оказанной в стационарных условиях (далее - госпитализация), в том числе для медицинской реабилитации в специализированных медицинских организациях (структурных подразделениях):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</w:t>
      </w:r>
      <w:r w:rsidRPr="001E19FD">
        <w:rPr>
          <w:rFonts w:ascii="PT Astra Serif" w:hAnsi="PT Astra Serif"/>
          <w:sz w:val="20"/>
          <w:szCs w:val="20"/>
        </w:rPr>
        <w:lastRenderedPageBreak/>
        <w:t xml:space="preserve">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смерти пациента,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согласно </w:t>
      </w:r>
      <w:hyperlink r:id="rId20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приложению N 5</w:t>
        </w:r>
      </w:hyperlink>
      <w:r w:rsidRPr="001E19FD">
        <w:rPr>
          <w:rFonts w:ascii="PT Astra Serif" w:hAnsi="PT Astra Serif"/>
          <w:sz w:val="20"/>
          <w:szCs w:val="20"/>
        </w:rPr>
        <w:t xml:space="preserve"> к </w:t>
      </w:r>
      <w:hyperlink r:id="rId21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постановлению</w:t>
        </w:r>
      </w:hyperlink>
      <w:r w:rsidRPr="001E19FD">
        <w:rPr>
          <w:rFonts w:ascii="PT Astra Serif" w:hAnsi="PT Astra Serif"/>
          <w:sz w:val="20"/>
          <w:szCs w:val="20"/>
        </w:rPr>
        <w:t xml:space="preserve"> Правительства Российской Федерации N 2353, в том числе в сочетании с оплатой за услугу диализа;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оплате медицинской помощи, оказанной в условиях дневного стационара: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за случай (законченный случай) лечения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в полном объеме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смерти пациента, выписки пациента до истечения 3 (трех) дней (включительно) со дня госпитализации (начала лечения), за исключением случаев оказания медицинской помощи по группам заболеваний, состояний, предусмотренных </w:t>
      </w:r>
      <w:hyperlink r:id="rId22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приложением N 5</w:t>
        </w:r>
      </w:hyperlink>
      <w:r w:rsidRPr="001E19FD">
        <w:rPr>
          <w:rFonts w:ascii="PT Astra Serif" w:hAnsi="PT Astra Serif"/>
          <w:sz w:val="20"/>
          <w:szCs w:val="20"/>
        </w:rPr>
        <w:t xml:space="preserve"> к </w:t>
      </w:r>
      <w:hyperlink r:id="rId23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постановлению</w:t>
        </w:r>
      </w:hyperlink>
      <w:r w:rsidRPr="001E19FD">
        <w:rPr>
          <w:rFonts w:ascii="PT Astra Serif" w:hAnsi="PT Astra Serif"/>
          <w:sz w:val="20"/>
          <w:szCs w:val="20"/>
        </w:rPr>
        <w:t xml:space="preserve"> Правительства Российской Федерации N 2353,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 подушевому нормативу финансирования;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 рамках подушевого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помощи по соответствующим профилям. При этом оплата иной медицинской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а также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мужчин, а также средств на оплату диспансерного наблюдения, включая диспансерное наблюдение работающих граждан и (или) обучающихся в образовательных организациях,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финансового обеспечения оказания медицинской помощи в амбулаторных условиях по профилю "акушерство и гинекология" и (или) "стоматология" в отдельные подушевые нормативы финансирования на прикрепившихся лиц. В подушевые нормативы финансирования на прикрепившихся лиц по профилям "акушерство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Финансовое обеспечение профилактических медицинских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</w:t>
      </w:r>
      <w:hyperlink r:id="rId24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Федеральным законом</w:t>
        </w:r>
      </w:hyperlink>
      <w:r w:rsidRPr="001E19FD">
        <w:rPr>
          <w:rFonts w:ascii="PT Astra Serif" w:hAnsi="PT Astra Serif"/>
          <w:sz w:val="20"/>
          <w:szCs w:val="20"/>
        </w:rPr>
        <w:t xml:space="preserve"> "Об основах охраны здоровья граждан в Российской Федерации", осуществляется за единицу объема медицинской помощи (комплексное посещение).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При оплате медицинской помощи в медицинских организациях, имеющих в своем составе подразделения, </w:t>
      </w:r>
      <w:r w:rsidRPr="001E19FD">
        <w:rPr>
          <w:rFonts w:ascii="PT Astra Serif" w:hAnsi="PT Astra Serif"/>
          <w:sz w:val="20"/>
          <w:szCs w:val="20"/>
        </w:rPr>
        <w:lastRenderedPageBreak/>
        <w:t>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включая показатели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мужчин, а также средства на оплату диспансерного наблюдения, включая диспансерное наблюдение работающих граждан и (или) обучающихся в образовательных организациях, и финансовое обеспечение фельдшерских здравпунктов и фельдшерско-акушерских пунктов.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Подушевой норматив финансирования медицинской помощи в амбулаторных условиях (за исключением медицинской помощи по профилю "медицинская реабилитация", оказанной гражданам на дому) на прикрепившихся лиц включает в том числе расходы на оказание медицинской помощи с применением телемедицинских (дистанционных) технологий, в том числе в референс-центрах, проведение медицинским психологом консультирования пациента по вопросам, связанным с имеющимся заболеванием и/или состоянием, включенным в базовую программу обязательного медицинского страхования, по направлениям врачей.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организациями, в том числе для оплаты медицинских услуг референс-центров.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 медицинским показаниям и в соответствии с клиническими рекомендациями медицинские работники медицинских организаций, расположенных в малонаселенных, отдаленных и (или) труднодоступных населенных пунктах, организовывают проведение консультации с использованием дистанционных (телемедицинских) технологий с последующим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перечнем, установленными Министерством здравоохранения Российской Федерации.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(COVID-19) методом полимеразной цепной реакции, на наличие вирусов респираторных инфекций, включая вирус гриппа (любым из методов), в случае: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(COVID-19), респираторной вирусной инфекции, включая грипп;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наличия у застрахованных граждан новой коронавирусной инфекции (COVID-19), респираторной вирусной инфекции, включая грипп, в том числе для оценки результатов проводимого лечения;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положительного результата исследования на выявление возбудителя новой коронавирусной инфекции (COVID-19), респираторной вирусной инфекции, включая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Направление в медицинские организации, расположенные за пределами территории субъекта Российской Федерации, в котором проживает гражданин,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организации, которую гражданин выбрал, в том числе по территориально-участковому принципу, в которой и проходит диагностику и лечение в рамках получения </w:t>
      </w:r>
      <w:r w:rsidRPr="001E19FD">
        <w:rPr>
          <w:rFonts w:ascii="PT Astra Serif" w:hAnsi="PT Astra Serif"/>
          <w:sz w:val="20"/>
          <w:szCs w:val="20"/>
        </w:rPr>
        <w:lastRenderedPageBreak/>
        <w:t>первичной медико-санитарной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помощи. При этом индивидуальное информационное сопровождение гражданина осуществляет страховая медицинская организация.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 2025 года распределение объемов медицинской помощи по проведению экстракорпорального оплодотворения осуществляется для медицинских организаций, выполнивших не менее 100 результативных случаев экстракорпорального оплодотворения за предыдущий год (за счет всех источников финансирования).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формировании тарифов на оплату специализированной, в том числе высокотехнологичной,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препаратов, ранее централизованно закупаемых по отдельным решениям Правительства Российской Федерации.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Оказание медицинской помощи в рамках указанных тарифов осуществляется при наличии медицинских показаний, решения соответствующей врачебной комиссии (консилиума) или рекомендаций профильной федеральной медицинской организации (национального медицинского исследовательского центра), в том числе по результатам консультации с использованием телемедицинских (дистанционных) технологий.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Порядок установления тарифов на оплату специализированной, в том числе высокотехнологичной, медицинской помощи, оказываемой федеральными медицинскими организациями, в соответствии с едиными требованиями базовой программы обязательного медицинского страхования предусматривается </w:t>
      </w:r>
      <w:hyperlink r:id="rId25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приложением N 3</w:t>
        </w:r>
      </w:hyperlink>
      <w:r w:rsidRPr="001E19FD">
        <w:rPr>
          <w:rFonts w:ascii="PT Astra Serif" w:hAnsi="PT Astra Serif"/>
          <w:sz w:val="20"/>
          <w:szCs w:val="20"/>
        </w:rPr>
        <w:t xml:space="preserve"> к </w:t>
      </w:r>
      <w:hyperlink r:id="rId26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постановлению</w:t>
        </w:r>
      </w:hyperlink>
      <w:r w:rsidRPr="001E19FD">
        <w:rPr>
          <w:rFonts w:ascii="PT Astra Serif" w:hAnsi="PT Astra Serif"/>
          <w:sz w:val="20"/>
          <w:szCs w:val="20"/>
        </w:rPr>
        <w:t xml:space="preserve"> Правительства Российской Федерации N 2353.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Федеральная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органов, по перечню видов 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органов,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согласно </w:t>
      </w:r>
      <w:hyperlink r:id="rId27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разделу III приложения N 1</w:t>
        </w:r>
      </w:hyperlink>
      <w:r w:rsidRPr="001E19FD">
        <w:rPr>
          <w:rFonts w:ascii="PT Astra Serif" w:hAnsi="PT Astra Serif"/>
          <w:sz w:val="20"/>
          <w:szCs w:val="20"/>
        </w:rPr>
        <w:t xml:space="preserve"> к </w:t>
      </w:r>
      <w:hyperlink r:id="rId28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Постановлению</w:t>
        </w:r>
      </w:hyperlink>
      <w:r w:rsidRPr="001E19FD">
        <w:rPr>
          <w:rFonts w:ascii="PT Astra Serif" w:hAnsi="PT Astra Serif"/>
          <w:sz w:val="20"/>
          <w:szCs w:val="20"/>
        </w:rPr>
        <w:t xml:space="preserve"> Правительства Российской Федерации N 2353.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Федеральная медицинская организация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</w:t>
      </w:r>
      <w:hyperlink r:id="rId29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частью 10 статьи 36</w:t>
        </w:r>
      </w:hyperlink>
      <w:r w:rsidRPr="001E19FD">
        <w:rPr>
          <w:rFonts w:ascii="PT Astra Serif" w:hAnsi="PT Astra Serif"/>
          <w:sz w:val="20"/>
          <w:szCs w:val="20"/>
        </w:rPr>
        <w:t xml:space="preserve"> Федерального закона "Об обязательном медицинском страховании в Российской Федерации".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Оказание медицинской помощи в экстренной форме пациентам, получающим специализированную медицинскую помощь в плановой форме в федеральной медицинской организации, осуществляется безотлагательно и оплачивается Федеральным фондом обязательного медицинского страхования по тарифам в соответствии с порядком, приведенным в </w:t>
      </w:r>
      <w:hyperlink r:id="rId30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приложении N 3</w:t>
        </w:r>
      </w:hyperlink>
      <w:r w:rsidRPr="001E19FD">
        <w:rPr>
          <w:rFonts w:ascii="PT Astra Serif" w:hAnsi="PT Astra Serif"/>
          <w:sz w:val="20"/>
          <w:szCs w:val="20"/>
        </w:rPr>
        <w:t xml:space="preserve"> к </w:t>
      </w:r>
      <w:hyperlink r:id="rId31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постановлению</w:t>
        </w:r>
      </w:hyperlink>
      <w:r w:rsidRPr="001E19FD">
        <w:rPr>
          <w:rFonts w:ascii="PT Astra Serif" w:hAnsi="PT Astra Serif"/>
          <w:sz w:val="20"/>
          <w:szCs w:val="20"/>
        </w:rPr>
        <w:t xml:space="preserve"> Правительства Российской Федерации N 2353, и перечнями, приведенными в </w:t>
      </w:r>
      <w:hyperlink r:id="rId32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приложении N 1</w:t>
        </w:r>
      </w:hyperlink>
      <w:r w:rsidRPr="001E19FD">
        <w:rPr>
          <w:rFonts w:ascii="PT Astra Serif" w:hAnsi="PT Astra Serif"/>
          <w:sz w:val="20"/>
          <w:szCs w:val="20"/>
        </w:rPr>
        <w:t xml:space="preserve"> (</w:t>
      </w:r>
      <w:hyperlink r:id="rId33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разделы I</w:t>
        </w:r>
      </w:hyperlink>
      <w:r w:rsidRPr="001E19FD">
        <w:rPr>
          <w:rFonts w:ascii="PT Astra Serif" w:hAnsi="PT Astra Serif"/>
          <w:sz w:val="20"/>
          <w:szCs w:val="20"/>
        </w:rPr>
        <w:t xml:space="preserve"> и </w:t>
      </w:r>
      <w:hyperlink r:id="rId34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III</w:t>
        </w:r>
      </w:hyperlink>
      <w:r w:rsidRPr="001E19FD">
        <w:rPr>
          <w:rFonts w:ascii="PT Astra Serif" w:hAnsi="PT Astra Serif"/>
          <w:sz w:val="20"/>
          <w:szCs w:val="20"/>
        </w:rPr>
        <w:t xml:space="preserve">) и </w:t>
      </w:r>
      <w:hyperlink r:id="rId35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приложении N 4</w:t>
        </w:r>
      </w:hyperlink>
      <w:r w:rsidRPr="001E19FD">
        <w:rPr>
          <w:rFonts w:ascii="PT Astra Serif" w:hAnsi="PT Astra Serif"/>
          <w:sz w:val="20"/>
          <w:szCs w:val="20"/>
        </w:rPr>
        <w:t xml:space="preserve"> к постановлению Правительства Российской Федерации N 2353.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требующего медицинского наблюдения в стационарных условиях,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организацию, оказывающую медицинскую помощь по соответствующему профилю.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Style w:val="a3"/>
          <w:rFonts w:ascii="PT Astra Serif" w:hAnsi="PT Astra Serif"/>
          <w:bCs/>
          <w:color w:val="auto"/>
          <w:sz w:val="20"/>
          <w:szCs w:val="20"/>
        </w:rPr>
        <w:t>Структура территориальной программы обязательного медицинского страхования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6" w:name="sub_27"/>
      <w:r w:rsidRPr="001E19FD">
        <w:rPr>
          <w:rFonts w:ascii="PT Astra Serif" w:hAnsi="PT Astra Serif"/>
          <w:sz w:val="20"/>
          <w:szCs w:val="20"/>
        </w:rPr>
        <w:t>18. Территориальная программа обязательного медицинского страхования включает:</w:t>
      </w:r>
    </w:p>
    <w:bookmarkEnd w:id="6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нормативы объема предоставления медицинской помощи, в том числе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в расчете на одно застрахованное лицо;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нормативы финансовых затрат на единицу объема предоставления медицинской помощи (в том числе по перечню видов высокотехнологичной медицинской помощи), включая нормативы финансовых затрат на единицу </w:t>
      </w:r>
      <w:r w:rsidRPr="001E19FD">
        <w:rPr>
          <w:rFonts w:ascii="PT Astra Serif" w:hAnsi="PT Astra Serif"/>
          <w:sz w:val="20"/>
          <w:szCs w:val="20"/>
        </w:rPr>
        <w:lastRenderedPageBreak/>
        <w:t>объема предоставления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а также нормативы финансового обеспечения базовой программы обязательного медицинского страхования в расчете на одно застрахованное лицо, в том числе на оказание медицинской помощи федеральными медицинскими организациями;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средние нормативы объема оказания и средние нормативы финансовых затрат на единицу объема медицинской помощи, оказываемой в рамках базовой программы обязательного медицинского страхования, предусмотренные </w:t>
      </w:r>
      <w:hyperlink r:id="rId36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разделом II приложения N 6</w:t>
        </w:r>
      </w:hyperlink>
      <w:r w:rsidRPr="001E19FD">
        <w:rPr>
          <w:rFonts w:ascii="PT Astra Serif" w:hAnsi="PT Astra Serif"/>
          <w:sz w:val="20"/>
          <w:szCs w:val="20"/>
        </w:rPr>
        <w:t xml:space="preserve"> к </w:t>
      </w:r>
      <w:hyperlink r:id="rId37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постановлению</w:t>
        </w:r>
      </w:hyperlink>
      <w:r w:rsidRPr="001E19FD">
        <w:rPr>
          <w:rFonts w:ascii="PT Astra Serif" w:hAnsi="PT Astra Serif"/>
          <w:sz w:val="20"/>
          <w:szCs w:val="20"/>
        </w:rPr>
        <w:t xml:space="preserve"> Правительства Российской Федерации N 2353;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требования к территориальным программам государственных гарантий и условия оказания медицинской помощи, предусмотренные </w:t>
      </w:r>
      <w:hyperlink w:anchor="sub_48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разделом VII</w:t>
        </w:r>
      </w:hyperlink>
      <w:r w:rsidRPr="001E19FD">
        <w:rPr>
          <w:rFonts w:ascii="PT Astra Serif" w:hAnsi="PT Astra Serif"/>
          <w:sz w:val="20"/>
          <w:szCs w:val="20"/>
        </w:rPr>
        <w:t xml:space="preserve"> Программы;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критерии доступности и качества медицинской помощи, предусмотренные </w:t>
      </w:r>
      <w:hyperlink w:anchor="sub_51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разделом VIII</w:t>
        </w:r>
      </w:hyperlink>
      <w:r w:rsidRPr="001E19FD">
        <w:rPr>
          <w:rFonts w:ascii="PT Astra Serif" w:hAnsi="PT Astra Serif"/>
          <w:sz w:val="20"/>
          <w:szCs w:val="20"/>
        </w:rPr>
        <w:t xml:space="preserve"> Программы.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Томской области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Томской области, на территории которого выдан полис обязательного медицинского страхования.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случаев,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расчете на одно застрахованное лицо, значение норматива финансового обеспечения в расчете на одно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и условия оказания медицинской помощи в таких медицинских организациях.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sectPr w:rsidR="00385433" w:rsidRPr="001E19FD" w:rsidSect="000A19CD">
      <w:headerReference w:type="default" r:id="rId38"/>
      <w:pgSz w:w="11900" w:h="16800"/>
      <w:pgMar w:top="851" w:right="800" w:bottom="144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095" w:rsidRDefault="00916095">
      <w:r>
        <w:separator/>
      </w:r>
    </w:p>
  </w:endnote>
  <w:endnote w:type="continuationSeparator" w:id="1">
    <w:p w:rsidR="00916095" w:rsidRDefault="00916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095" w:rsidRDefault="00916095">
      <w:r>
        <w:separator/>
      </w:r>
    </w:p>
  </w:footnote>
  <w:footnote w:type="continuationSeparator" w:id="1">
    <w:p w:rsidR="00916095" w:rsidRDefault="00916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3" w:rsidRDefault="0038543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33"/>
    <w:rsid w:val="000A19CD"/>
    <w:rsid w:val="000A41BB"/>
    <w:rsid w:val="001E19FD"/>
    <w:rsid w:val="001F325B"/>
    <w:rsid w:val="001F5CA5"/>
    <w:rsid w:val="002B4AA1"/>
    <w:rsid w:val="002F6C1F"/>
    <w:rsid w:val="00385433"/>
    <w:rsid w:val="00411388"/>
    <w:rsid w:val="00620428"/>
    <w:rsid w:val="0068678D"/>
    <w:rsid w:val="006E4478"/>
    <w:rsid w:val="00714688"/>
    <w:rsid w:val="007223BC"/>
    <w:rsid w:val="0073144D"/>
    <w:rsid w:val="007543F5"/>
    <w:rsid w:val="00775B8C"/>
    <w:rsid w:val="00916095"/>
    <w:rsid w:val="00922874"/>
    <w:rsid w:val="0096180C"/>
    <w:rsid w:val="009F694F"/>
    <w:rsid w:val="00A15ED7"/>
    <w:rsid w:val="00A96071"/>
    <w:rsid w:val="00B83E30"/>
    <w:rsid w:val="00E07CB6"/>
    <w:rsid w:val="00E47AEE"/>
    <w:rsid w:val="00E927D1"/>
    <w:rsid w:val="00EB634E"/>
    <w:rsid w:val="00F60FD3"/>
    <w:rsid w:val="00F7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D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0F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0F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60F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0FD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60FD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60FD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60FD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F60FD3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F60FD3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document/redirect/12180688/30" TargetMode="External"/><Relationship Id="rId13" Type="http://schemas.openxmlformats.org/officeDocument/2006/relationships/hyperlink" Target="https://demo.garant.ru/document/redirect/408323431/0" TargetMode="External"/><Relationship Id="rId18" Type="http://schemas.openxmlformats.org/officeDocument/2006/relationships/hyperlink" Target="https://demo.garant.ru/document/redirect/12125268/0" TargetMode="External"/><Relationship Id="rId26" Type="http://schemas.openxmlformats.org/officeDocument/2006/relationships/hyperlink" Target="https://demo.garant.ru/document/redirect/408323431/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emo.garant.ru/document/redirect/408323431/0" TargetMode="External"/><Relationship Id="rId34" Type="http://schemas.openxmlformats.org/officeDocument/2006/relationships/hyperlink" Target="https://demo.garant.ru/document/redirect/408323431/11300" TargetMode="External"/><Relationship Id="rId7" Type="http://schemas.openxmlformats.org/officeDocument/2006/relationships/hyperlink" Target="https://demo.garant.ru/document/redirect/12180688/0" TargetMode="External"/><Relationship Id="rId12" Type="http://schemas.openxmlformats.org/officeDocument/2006/relationships/hyperlink" Target="https://demo.garant.ru/document/redirect/408323431/12000" TargetMode="External"/><Relationship Id="rId17" Type="http://schemas.openxmlformats.org/officeDocument/2006/relationships/hyperlink" Target="https://demo.garant.ru/document/redirect/408323431/0" TargetMode="External"/><Relationship Id="rId25" Type="http://schemas.openxmlformats.org/officeDocument/2006/relationships/hyperlink" Target="https://demo.garant.ru/document/redirect/408323431/13000" TargetMode="External"/><Relationship Id="rId33" Type="http://schemas.openxmlformats.org/officeDocument/2006/relationships/hyperlink" Target="https://demo.garant.ru/document/redirect/408323431/11100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emo.garant.ru/document/redirect/408323431/12101" TargetMode="External"/><Relationship Id="rId20" Type="http://schemas.openxmlformats.org/officeDocument/2006/relationships/hyperlink" Target="https://demo.garant.ru/document/redirect/408323431/15000" TargetMode="External"/><Relationship Id="rId29" Type="http://schemas.openxmlformats.org/officeDocument/2006/relationships/hyperlink" Target="https://demo.garant.ru/document/redirect/12180688/36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mo.garant.ru/document/redirect/408323431/0" TargetMode="External"/><Relationship Id="rId24" Type="http://schemas.openxmlformats.org/officeDocument/2006/relationships/hyperlink" Target="https://demo.garant.ru/document/redirect/12191967/0" TargetMode="External"/><Relationship Id="rId32" Type="http://schemas.openxmlformats.org/officeDocument/2006/relationships/hyperlink" Target="https://demo.garant.ru/document/redirect/408323431/11000" TargetMode="External"/><Relationship Id="rId37" Type="http://schemas.openxmlformats.org/officeDocument/2006/relationships/hyperlink" Target="https://demo.garant.ru/document/redirect/408323431/0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emo.garant.ru/document/redirect/7804271/3141" TargetMode="External"/><Relationship Id="rId23" Type="http://schemas.openxmlformats.org/officeDocument/2006/relationships/hyperlink" Target="https://demo.garant.ru/document/redirect/408323431/0" TargetMode="External"/><Relationship Id="rId28" Type="http://schemas.openxmlformats.org/officeDocument/2006/relationships/hyperlink" Target="https://demo.garant.ru/document/redirect/408323431/0" TargetMode="External"/><Relationship Id="rId36" Type="http://schemas.openxmlformats.org/officeDocument/2006/relationships/hyperlink" Target="https://demo.garant.ru/document/redirect/408323431/16002" TargetMode="External"/><Relationship Id="rId10" Type="http://schemas.openxmlformats.org/officeDocument/2006/relationships/hyperlink" Target="https://demo.garant.ru/document/redirect/408323431/14000" TargetMode="External"/><Relationship Id="rId19" Type="http://schemas.openxmlformats.org/officeDocument/2006/relationships/hyperlink" Target="https://demo.garant.ru/document/redirect/7804271/3141" TargetMode="External"/><Relationship Id="rId31" Type="http://schemas.openxmlformats.org/officeDocument/2006/relationships/hyperlink" Target="https://demo.garant.ru/document/redirect/40832343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document/redirect/12191967/76" TargetMode="External"/><Relationship Id="rId14" Type="http://schemas.openxmlformats.org/officeDocument/2006/relationships/hyperlink" Target="https://demo.garant.ru/document/redirect/7804271/3141" TargetMode="External"/><Relationship Id="rId22" Type="http://schemas.openxmlformats.org/officeDocument/2006/relationships/hyperlink" Target="https://demo.garant.ru/document/redirect/408323431/15000" TargetMode="External"/><Relationship Id="rId27" Type="http://schemas.openxmlformats.org/officeDocument/2006/relationships/hyperlink" Target="https://demo.garant.ru/document/redirect/408323431/11300" TargetMode="External"/><Relationship Id="rId30" Type="http://schemas.openxmlformats.org/officeDocument/2006/relationships/hyperlink" Target="https://demo.garant.ru/document/redirect/408323431/13000" TargetMode="External"/><Relationship Id="rId35" Type="http://schemas.openxmlformats.org/officeDocument/2006/relationships/hyperlink" Target="https://demo.garant.ru/document/redirect/408323431/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6440</Words>
  <Characters>36709</Characters>
  <Application>Microsoft Office Word</Application>
  <DocSecurity>0</DocSecurity>
  <Lines>305</Lines>
  <Paragraphs>86</Paragraphs>
  <ScaleCrop>false</ScaleCrop>
  <Company>НПП "Гарант-Сервис"</Company>
  <LinksUpToDate>false</LinksUpToDate>
  <CharactersWithSpaces>43063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TIM</cp:lastModifiedBy>
  <cp:revision>20</cp:revision>
  <dcterms:created xsi:type="dcterms:W3CDTF">2024-01-26T01:34:00Z</dcterms:created>
  <dcterms:modified xsi:type="dcterms:W3CDTF">2024-01-26T03:01:00Z</dcterms:modified>
</cp:coreProperties>
</file>